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Specification</w:t>
      </w:r>
      <w:r>
        <w:rPr>
          <w:spacing w:val="-4"/>
        </w:rPr>
        <w:t> </w:t>
      </w:r>
      <w:r>
        <w:rPr/>
        <w:t>-</w:t>
      </w:r>
      <w:r>
        <w:rPr>
          <w:spacing w:val="-5"/>
        </w:rPr>
        <w:t> </w:t>
      </w:r>
      <w:r>
        <w:rPr/>
        <w:t>DMS302</w:t>
      </w:r>
      <w:r>
        <w:rPr>
          <w:spacing w:val="-5"/>
        </w:rPr>
        <w:t> </w:t>
      </w:r>
      <w:r>
        <w:rPr/>
        <w:t>Dual</w:t>
      </w:r>
      <w:r>
        <w:rPr>
          <w:spacing w:val="-4"/>
        </w:rPr>
        <w:t> </w:t>
      </w:r>
      <w:r>
        <w:rPr/>
        <w:t>Cylinder</w:t>
      </w:r>
      <w:r>
        <w:rPr>
          <w:spacing w:val="-3"/>
        </w:rPr>
        <w:t> </w:t>
      </w:r>
      <w:r>
        <w:rPr/>
        <w:t>Mechanical</w:t>
      </w:r>
      <w:r>
        <w:rPr>
          <w:spacing w:val="-3"/>
        </w:rPr>
        <w:t> </w:t>
      </w:r>
      <w:r>
        <w:rPr>
          <w:spacing w:val="-2"/>
        </w:rPr>
        <w:t>Scale</w:t>
      </w:r>
    </w:p>
    <w:p>
      <w:pPr>
        <w:pStyle w:val="BodyText"/>
        <w:spacing w:before="275"/>
        <w:rPr>
          <w:b/>
        </w:rPr>
      </w:pPr>
    </w:p>
    <w:p>
      <w:pPr>
        <w:pStyle w:val="Heading1"/>
        <w:numPr>
          <w:ilvl w:val="1"/>
          <w:numId w:val="1"/>
        </w:numPr>
        <w:tabs>
          <w:tab w:pos="821" w:val="left" w:leader="none"/>
        </w:tabs>
        <w:spacing w:line="240" w:lineRule="auto" w:before="1" w:after="0"/>
        <w:ind w:left="821" w:right="0" w:hanging="720"/>
        <w:jc w:val="left"/>
      </w:pPr>
      <w:r>
        <w:rPr>
          <w:spacing w:val="-2"/>
        </w:rPr>
        <w:t>GENERAL</w:t>
      </w:r>
    </w:p>
    <w:p>
      <w:pPr>
        <w:pStyle w:val="BodyText"/>
        <w:spacing w:before="276"/>
        <w:ind w:left="821" w:right="95"/>
      </w:pPr>
      <w:r>
        <w:rPr/>
        <w:t>The scale shall be an Eagle Microsystems Model DMS302 Dual Cylinder Mechanical Scale suitable for weighing two (2) compressed gas cylinders having a maximum diameter of 12 inches</w:t>
      </w:r>
      <w:r>
        <w:rPr>
          <w:spacing w:val="40"/>
        </w:rPr>
        <w:t> </w:t>
      </w:r>
      <w:r>
        <w:rPr/>
        <w:t>(30 cm). Scale shall have a maximum</w:t>
      </w:r>
      <w:r>
        <w:rPr>
          <w:spacing w:val="-5"/>
        </w:rPr>
        <w:t> </w:t>
      </w:r>
      <w:r>
        <w:rPr/>
        <w:t>capacity</w:t>
      </w:r>
      <w:r>
        <w:rPr>
          <w:spacing w:val="-5"/>
        </w:rPr>
        <w:t> </w:t>
      </w:r>
      <w:r>
        <w:rPr/>
        <w:t>of</w:t>
      </w:r>
      <w:r>
        <w:rPr>
          <w:spacing w:val="-6"/>
        </w:rPr>
        <w:t> </w:t>
      </w:r>
      <w:r>
        <w:rPr/>
        <w:t>360</w:t>
      </w:r>
      <w:r>
        <w:rPr>
          <w:spacing w:val="-5"/>
        </w:rPr>
        <w:t> </w:t>
      </w:r>
      <w:r>
        <w:rPr/>
        <w:t>lbs</w:t>
      </w:r>
      <w:r>
        <w:rPr>
          <w:spacing w:val="-3"/>
        </w:rPr>
        <w:t> </w:t>
      </w:r>
      <w:r>
        <w:rPr/>
        <w:t>(162</w:t>
      </w:r>
      <w:r>
        <w:rPr>
          <w:spacing w:val="-5"/>
        </w:rPr>
        <w:t> </w:t>
      </w:r>
      <w:r>
        <w:rPr/>
        <w:t>kg).</w:t>
      </w:r>
      <w:r>
        <w:rPr>
          <w:spacing w:val="-4"/>
        </w:rPr>
        <w:t> </w:t>
      </w:r>
      <w:r>
        <w:rPr/>
        <w:t>per</w:t>
      </w:r>
      <w:r>
        <w:rPr>
          <w:spacing w:val="-5"/>
        </w:rPr>
        <w:t> </w:t>
      </w:r>
      <w:r>
        <w:rPr/>
        <w:t>cylinder,</w:t>
      </w:r>
      <w:r>
        <w:rPr>
          <w:spacing w:val="-2"/>
        </w:rPr>
        <w:t> </w:t>
      </w:r>
      <w:r>
        <w:rPr/>
        <w:t>providing</w:t>
      </w:r>
      <w:r>
        <w:rPr>
          <w:spacing w:val="-5"/>
        </w:rPr>
        <w:t> </w:t>
      </w:r>
      <w:r>
        <w:rPr/>
        <w:t>an</w:t>
      </w:r>
      <w:r>
        <w:rPr>
          <w:spacing w:val="-5"/>
        </w:rPr>
        <w:t> </w:t>
      </w:r>
      <w:r>
        <w:rPr/>
        <w:t>accuracy of 1 % of rated capacity.</w:t>
      </w:r>
    </w:p>
    <w:p>
      <w:pPr>
        <w:pStyle w:val="BodyText"/>
      </w:pPr>
    </w:p>
    <w:p>
      <w:pPr>
        <w:pStyle w:val="Heading1"/>
        <w:numPr>
          <w:ilvl w:val="1"/>
          <w:numId w:val="1"/>
        </w:numPr>
        <w:tabs>
          <w:tab w:pos="821" w:val="left" w:leader="none"/>
        </w:tabs>
        <w:spacing w:line="240" w:lineRule="auto" w:before="0" w:after="0"/>
        <w:ind w:left="821" w:right="0" w:hanging="720"/>
        <w:jc w:val="left"/>
      </w:pPr>
      <w:r>
        <w:rPr/>
        <w:t>WORK</w:t>
      </w:r>
      <w:r>
        <w:rPr>
          <w:spacing w:val="-7"/>
        </w:rPr>
        <w:t> </w:t>
      </w:r>
      <w:r>
        <w:rPr/>
        <w:t>SPECIFIED</w:t>
      </w:r>
      <w:r>
        <w:rPr>
          <w:spacing w:val="-2"/>
        </w:rPr>
        <w:t> ELSEWHERE</w:t>
      </w:r>
    </w:p>
    <w:p>
      <w:pPr>
        <w:pStyle w:val="BodyText"/>
      </w:pPr>
    </w:p>
    <w:p>
      <w:pPr>
        <w:pStyle w:val="BodyText"/>
        <w:ind w:left="821" w:right="95"/>
      </w:pPr>
      <w:r>
        <w:rPr/>
        <w:t>The</w:t>
      </w:r>
      <w:r>
        <w:rPr>
          <w:spacing w:val="-5"/>
        </w:rPr>
        <w:t> </w:t>
      </w:r>
      <w:r>
        <w:rPr/>
        <w:t>scale</w:t>
      </w:r>
      <w:r>
        <w:rPr>
          <w:spacing w:val="-5"/>
        </w:rPr>
        <w:t> </w:t>
      </w:r>
      <w:r>
        <w:rPr/>
        <w:t>base</w:t>
      </w:r>
      <w:r>
        <w:rPr>
          <w:spacing w:val="-5"/>
        </w:rPr>
        <w:t> </w:t>
      </w:r>
      <w:r>
        <w:rPr/>
        <w:t>shall</w:t>
      </w:r>
      <w:r>
        <w:rPr>
          <w:spacing w:val="-5"/>
        </w:rPr>
        <w:t> </w:t>
      </w:r>
      <w:r>
        <w:rPr/>
        <w:t>be</w:t>
      </w:r>
      <w:r>
        <w:rPr>
          <w:spacing w:val="-5"/>
        </w:rPr>
        <w:t> </w:t>
      </w:r>
      <w:r>
        <w:rPr/>
        <w:t>anchored</w:t>
      </w:r>
      <w:r>
        <w:rPr>
          <w:spacing w:val="40"/>
        </w:rPr>
        <w:t> </w:t>
      </w:r>
      <w:r>
        <w:rPr/>
        <w:t>to</w:t>
      </w:r>
      <w:r>
        <w:rPr>
          <w:spacing w:val="-3"/>
        </w:rPr>
        <w:t> </w:t>
      </w:r>
      <w:r>
        <w:rPr/>
        <w:t>the</w:t>
      </w:r>
      <w:r>
        <w:rPr>
          <w:spacing w:val="-3"/>
        </w:rPr>
        <w:t> </w:t>
      </w:r>
      <w:r>
        <w:rPr/>
        <w:t>floor</w:t>
      </w:r>
      <w:r>
        <w:rPr>
          <w:spacing w:val="-3"/>
        </w:rPr>
        <w:t> </w:t>
      </w:r>
      <w:r>
        <w:rPr/>
        <w:t>by</w:t>
      </w:r>
      <w:r>
        <w:rPr>
          <w:spacing w:val="-5"/>
        </w:rPr>
        <w:t> </w:t>
      </w:r>
      <w:r>
        <w:rPr/>
        <w:t>the</w:t>
      </w:r>
      <w:r>
        <w:rPr>
          <w:spacing w:val="-5"/>
        </w:rPr>
        <w:t> </w:t>
      </w:r>
      <w:r>
        <w:rPr/>
        <w:t>contractor</w:t>
      </w:r>
      <w:r>
        <w:rPr>
          <w:spacing w:val="-3"/>
        </w:rPr>
        <w:t> </w:t>
      </w:r>
      <w:r>
        <w:rPr/>
        <w:t>with</w:t>
      </w:r>
      <w:r>
        <w:rPr>
          <w:spacing w:val="-1"/>
        </w:rPr>
        <w:t> </w:t>
      </w:r>
      <w:r>
        <w:rPr/>
        <w:t>3/8" dia. mounting hardware</w:t>
      </w:r>
    </w:p>
    <w:p>
      <w:pPr>
        <w:pStyle w:val="BodyText"/>
      </w:pPr>
    </w:p>
    <w:p>
      <w:pPr>
        <w:pStyle w:val="Heading1"/>
        <w:numPr>
          <w:ilvl w:val="1"/>
          <w:numId w:val="1"/>
        </w:numPr>
        <w:tabs>
          <w:tab w:pos="821" w:val="left" w:leader="none"/>
        </w:tabs>
        <w:spacing w:line="240" w:lineRule="auto" w:before="0" w:after="0"/>
        <w:ind w:left="821" w:right="0" w:hanging="720"/>
        <w:jc w:val="left"/>
      </w:pPr>
      <w:r>
        <w:rPr/>
        <w:t>START</w:t>
      </w:r>
      <w:r>
        <w:rPr>
          <w:spacing w:val="-3"/>
        </w:rPr>
        <w:t> </w:t>
      </w:r>
      <w:r>
        <w:rPr/>
        <w:t>UP</w:t>
      </w:r>
      <w:r>
        <w:rPr>
          <w:spacing w:val="-2"/>
        </w:rPr>
        <w:t> </w:t>
      </w:r>
      <w:r>
        <w:rPr/>
        <w:t>/</w:t>
      </w:r>
      <w:r>
        <w:rPr>
          <w:spacing w:val="-1"/>
        </w:rPr>
        <w:t> </w:t>
      </w:r>
      <w:r>
        <w:rPr>
          <w:spacing w:val="-2"/>
        </w:rPr>
        <w:t>OPERATION</w:t>
      </w:r>
    </w:p>
    <w:p>
      <w:pPr>
        <w:pStyle w:val="BodyText"/>
      </w:pPr>
    </w:p>
    <w:p>
      <w:pPr>
        <w:pStyle w:val="BodyText"/>
        <w:ind w:left="821" w:right="95"/>
      </w:pPr>
      <w:r>
        <w:rPr/>
        <w:t>Installation shall be accomplished without the need for special tools or lifting</w:t>
      </w:r>
      <w:r>
        <w:rPr>
          <w:spacing w:val="-4"/>
        </w:rPr>
        <w:t> </w:t>
      </w:r>
      <w:r>
        <w:rPr/>
        <w:t>devices.</w:t>
      </w:r>
      <w:r>
        <w:rPr>
          <w:spacing w:val="40"/>
        </w:rPr>
        <w:t> </w:t>
      </w:r>
      <w:r>
        <w:rPr/>
        <w:t>Start</w:t>
      </w:r>
      <w:r>
        <w:rPr>
          <w:spacing w:val="-3"/>
        </w:rPr>
        <w:t> </w:t>
      </w:r>
      <w:r>
        <w:rPr/>
        <w:t>up,</w:t>
      </w:r>
      <w:r>
        <w:rPr>
          <w:spacing w:val="-3"/>
        </w:rPr>
        <w:t> </w:t>
      </w:r>
      <w:r>
        <w:rPr/>
        <w:t>calibration</w:t>
      </w:r>
      <w:r>
        <w:rPr>
          <w:spacing w:val="-2"/>
        </w:rPr>
        <w:t> </w:t>
      </w:r>
      <w:r>
        <w:rPr/>
        <w:t>and</w:t>
      </w:r>
      <w:r>
        <w:rPr>
          <w:spacing w:val="-4"/>
        </w:rPr>
        <w:t> </w:t>
      </w:r>
      <w:r>
        <w:rPr/>
        <w:t>operation</w:t>
      </w:r>
      <w:r>
        <w:rPr>
          <w:spacing w:val="-4"/>
        </w:rPr>
        <w:t> </w:t>
      </w:r>
      <w:r>
        <w:rPr/>
        <w:t>of</w:t>
      </w:r>
      <w:r>
        <w:rPr>
          <w:spacing w:val="-5"/>
        </w:rPr>
        <w:t> </w:t>
      </w:r>
      <w:r>
        <w:rPr/>
        <w:t>the</w:t>
      </w:r>
      <w:r>
        <w:rPr>
          <w:spacing w:val="-2"/>
        </w:rPr>
        <w:t> </w:t>
      </w:r>
      <w:r>
        <w:rPr/>
        <w:t>scale</w:t>
      </w:r>
      <w:r>
        <w:rPr>
          <w:spacing w:val="-4"/>
        </w:rPr>
        <w:t> </w:t>
      </w:r>
      <w:r>
        <w:rPr/>
        <w:t>shall</w:t>
      </w:r>
      <w:r>
        <w:rPr>
          <w:spacing w:val="-4"/>
        </w:rPr>
        <w:t> </w:t>
      </w:r>
      <w:r>
        <w:rPr/>
        <w:t>not require</w:t>
      </w:r>
      <w:r>
        <w:rPr>
          <w:spacing w:val="-4"/>
        </w:rPr>
        <w:t> </w:t>
      </w:r>
      <w:r>
        <w:rPr/>
        <w:t>the</w:t>
      </w:r>
      <w:r>
        <w:rPr>
          <w:spacing w:val="-6"/>
        </w:rPr>
        <w:t> </w:t>
      </w:r>
      <w:r>
        <w:rPr/>
        <w:t>services</w:t>
      </w:r>
      <w:r>
        <w:rPr>
          <w:spacing w:val="-6"/>
        </w:rPr>
        <w:t> </w:t>
      </w:r>
      <w:r>
        <w:rPr/>
        <w:t>of</w:t>
      </w:r>
      <w:r>
        <w:rPr>
          <w:spacing w:val="-5"/>
        </w:rPr>
        <w:t> </w:t>
      </w:r>
      <w:r>
        <w:rPr/>
        <w:t>the</w:t>
      </w:r>
      <w:r>
        <w:rPr>
          <w:spacing w:val="-6"/>
        </w:rPr>
        <w:t> </w:t>
      </w:r>
      <w:r>
        <w:rPr/>
        <w:t>manufacturer,</w:t>
      </w:r>
      <w:r>
        <w:rPr>
          <w:spacing w:val="40"/>
        </w:rPr>
        <w:t> </w:t>
      </w:r>
      <w:r>
        <w:rPr/>
        <w:t>however,</w:t>
      </w:r>
      <w:r>
        <w:rPr>
          <w:spacing w:val="-3"/>
        </w:rPr>
        <w:t> </w:t>
      </w:r>
      <w:r>
        <w:rPr/>
        <w:t>assistance</w:t>
      </w:r>
      <w:r>
        <w:rPr>
          <w:spacing w:val="-6"/>
        </w:rPr>
        <w:t> </w:t>
      </w:r>
      <w:r>
        <w:rPr/>
        <w:t>shall</w:t>
      </w:r>
      <w:r>
        <w:rPr>
          <w:spacing w:val="-6"/>
        </w:rPr>
        <w:t> </w:t>
      </w:r>
      <w:r>
        <w:rPr/>
        <w:t>be available from a factory trained, local representative, if required.</w:t>
      </w:r>
    </w:p>
    <w:p>
      <w:pPr>
        <w:pStyle w:val="BodyText"/>
      </w:pPr>
    </w:p>
    <w:p>
      <w:pPr>
        <w:pStyle w:val="Heading1"/>
        <w:numPr>
          <w:ilvl w:val="0"/>
          <w:numId w:val="2"/>
        </w:numPr>
        <w:tabs>
          <w:tab w:pos="821" w:val="left" w:leader="none"/>
        </w:tabs>
        <w:spacing w:line="240" w:lineRule="auto" w:before="0" w:after="0"/>
        <w:ind w:left="821" w:right="0" w:hanging="720"/>
        <w:jc w:val="left"/>
      </w:pPr>
      <w:r>
        <w:rPr>
          <w:spacing w:val="-2"/>
        </w:rPr>
        <w:t>DESCRIPTION</w:t>
      </w:r>
    </w:p>
    <w:p>
      <w:pPr>
        <w:pStyle w:val="BodyText"/>
      </w:pPr>
    </w:p>
    <w:p>
      <w:pPr>
        <w:pStyle w:val="BodyText"/>
        <w:ind w:left="821" w:right="95"/>
      </w:pPr>
      <w:r>
        <w:rPr/>
        <w:t>The scale shall be a self contained device providing</w:t>
      </w:r>
      <w:r>
        <w:rPr>
          <w:spacing w:val="40"/>
        </w:rPr>
        <w:t> </w:t>
      </w:r>
      <w:r>
        <w:rPr/>
        <w:t>two independent, large,</w:t>
      </w:r>
      <w:r>
        <w:rPr>
          <w:spacing w:val="-5"/>
        </w:rPr>
        <w:t> </w:t>
      </w:r>
      <w:r>
        <w:rPr/>
        <w:t>analog</w:t>
      </w:r>
      <w:r>
        <w:rPr>
          <w:spacing w:val="-4"/>
        </w:rPr>
        <w:t> </w:t>
      </w:r>
      <w:r>
        <w:rPr/>
        <w:t>indicators</w:t>
      </w:r>
      <w:r>
        <w:rPr>
          <w:spacing w:val="-4"/>
        </w:rPr>
        <w:t> </w:t>
      </w:r>
      <w:r>
        <w:rPr/>
        <w:t>mounted</w:t>
      </w:r>
      <w:r>
        <w:rPr>
          <w:spacing w:val="40"/>
        </w:rPr>
        <w:t> </w:t>
      </w:r>
      <w:r>
        <w:rPr/>
        <w:t>to</w:t>
      </w:r>
      <w:r>
        <w:rPr>
          <w:spacing w:val="-4"/>
        </w:rPr>
        <w:t> </w:t>
      </w:r>
      <w:r>
        <w:rPr/>
        <w:t>a</w:t>
      </w:r>
      <w:r>
        <w:rPr>
          <w:spacing w:val="-4"/>
        </w:rPr>
        <w:t> </w:t>
      </w:r>
      <w:r>
        <w:rPr/>
        <w:t>5</w:t>
      </w:r>
      <w:r>
        <w:rPr>
          <w:spacing w:val="-4"/>
        </w:rPr>
        <w:t> </w:t>
      </w:r>
      <w:r>
        <w:rPr/>
        <w:t>ft</w:t>
      </w:r>
      <w:r>
        <w:rPr>
          <w:spacing w:val="-3"/>
        </w:rPr>
        <w:t> </w:t>
      </w:r>
      <w:r>
        <w:rPr/>
        <w:t>(1.5</w:t>
      </w:r>
      <w:r>
        <w:rPr>
          <w:spacing w:val="-2"/>
        </w:rPr>
        <w:t> </w:t>
      </w:r>
      <w:r>
        <w:rPr/>
        <w:t>m)</w:t>
      </w:r>
      <w:r>
        <w:rPr>
          <w:spacing w:val="-4"/>
        </w:rPr>
        <w:t> </w:t>
      </w:r>
      <w:r>
        <w:rPr/>
        <w:t>tall</w:t>
      </w:r>
      <w:r>
        <w:rPr>
          <w:spacing w:val="-2"/>
        </w:rPr>
        <w:t> </w:t>
      </w:r>
      <w:r>
        <w:rPr/>
        <w:t>post</w:t>
      </w:r>
      <w:r>
        <w:rPr>
          <w:spacing w:val="-3"/>
        </w:rPr>
        <w:t> </w:t>
      </w:r>
      <w:r>
        <w:rPr/>
        <w:t>to</w:t>
      </w:r>
      <w:r>
        <w:rPr>
          <w:spacing w:val="-4"/>
        </w:rPr>
        <w:t> </w:t>
      </w:r>
      <w:r>
        <w:rPr/>
        <w:t>provide</w:t>
      </w:r>
      <w:r>
        <w:rPr>
          <w:spacing w:val="-4"/>
        </w:rPr>
        <w:t> </w:t>
      </w:r>
      <w:r>
        <w:rPr/>
        <w:t>easy viewing. Scale base shall incorporate two independent reliable</w:t>
      </w:r>
    </w:p>
    <w:p>
      <w:pPr>
        <w:pStyle w:val="BodyText"/>
        <w:ind w:left="821" w:right="175"/>
      </w:pPr>
      <w:r>
        <w:rPr/>
        <w:t>lever systems to convey each cylinder's weight to its dedicated analog indicator. Systems incorporating hydraulic load cells shall not be acceptable. Each indicator shall have an operating display (chemical weight) of 0 to 150 lbs ( or 0 to 68 kg.), with individual mechanical tare weight</w:t>
      </w:r>
      <w:r>
        <w:rPr>
          <w:spacing w:val="-4"/>
        </w:rPr>
        <w:t> </w:t>
      </w:r>
      <w:r>
        <w:rPr/>
        <w:t>adjustment</w:t>
      </w:r>
      <w:r>
        <w:rPr>
          <w:spacing w:val="-6"/>
        </w:rPr>
        <w:t> </w:t>
      </w:r>
      <w:r>
        <w:rPr/>
        <w:t>of</w:t>
      </w:r>
      <w:r>
        <w:rPr>
          <w:spacing w:val="-4"/>
        </w:rPr>
        <w:t> </w:t>
      </w:r>
      <w:r>
        <w:rPr/>
        <w:t>40</w:t>
      </w:r>
      <w:r>
        <w:rPr>
          <w:spacing w:val="-3"/>
        </w:rPr>
        <w:t> </w:t>
      </w:r>
      <w:r>
        <w:rPr/>
        <w:t>to</w:t>
      </w:r>
      <w:r>
        <w:rPr>
          <w:spacing w:val="-5"/>
        </w:rPr>
        <w:t> </w:t>
      </w:r>
      <w:r>
        <w:rPr/>
        <w:t>125</w:t>
      </w:r>
      <w:r>
        <w:rPr>
          <w:spacing w:val="-3"/>
        </w:rPr>
        <w:t> </w:t>
      </w:r>
      <w:r>
        <w:rPr/>
        <w:t>lbs</w:t>
      </w:r>
      <w:r>
        <w:rPr>
          <w:spacing w:val="-5"/>
        </w:rPr>
        <w:t> </w:t>
      </w:r>
      <w:r>
        <w:rPr/>
        <w:t>(20</w:t>
      </w:r>
      <w:r>
        <w:rPr>
          <w:spacing w:val="-5"/>
        </w:rPr>
        <w:t> </w:t>
      </w:r>
      <w:r>
        <w:rPr/>
        <w:t>to</w:t>
      </w:r>
      <w:r>
        <w:rPr>
          <w:spacing w:val="-3"/>
        </w:rPr>
        <w:t> </w:t>
      </w:r>
      <w:r>
        <w:rPr/>
        <w:t>55</w:t>
      </w:r>
      <w:r>
        <w:rPr>
          <w:spacing w:val="-3"/>
        </w:rPr>
        <w:t> </w:t>
      </w:r>
      <w:r>
        <w:rPr/>
        <w:t>kg.).</w:t>
      </w:r>
      <w:r>
        <w:rPr>
          <w:spacing w:val="-4"/>
        </w:rPr>
        <w:t> </w:t>
      </w:r>
      <w:r>
        <w:rPr/>
        <w:t>Display</w:t>
      </w:r>
      <w:r>
        <w:rPr>
          <w:spacing w:val="-5"/>
        </w:rPr>
        <w:t> </w:t>
      </w:r>
      <w:r>
        <w:rPr/>
        <w:t>resolution</w:t>
      </w:r>
      <w:r>
        <w:rPr>
          <w:spacing w:val="-5"/>
        </w:rPr>
        <w:t> </w:t>
      </w:r>
      <w:r>
        <w:rPr/>
        <w:t>shall be in 1 lb. (0.5 kg.) increments.</w:t>
      </w:r>
      <w:r>
        <w:rPr>
          <w:spacing w:val="40"/>
        </w:rPr>
        <w:t> </w:t>
      </w:r>
      <w:r>
        <w:rPr/>
        <w:t>A</w:t>
      </w:r>
      <w:r>
        <w:rPr>
          <w:spacing w:val="40"/>
        </w:rPr>
        <w:t> </w:t>
      </w:r>
      <w:r>
        <w:rPr/>
        <w:t>highly corrosion resistant, dual platform, high impact PVC base, protected by 5 year</w:t>
      </w:r>
      <w:r>
        <w:rPr>
          <w:spacing w:val="40"/>
        </w:rPr>
        <w:t> </w:t>
      </w:r>
      <w:r>
        <w:rPr/>
        <w:t>warranty, shall be suitable for weighing two (2) 12 inch (30 cm) diameter. cylinders.</w:t>
      </w:r>
    </w:p>
    <w:p>
      <w:pPr>
        <w:pStyle w:val="BodyText"/>
        <w:ind w:left="821" w:right="95"/>
      </w:pPr>
      <w:r>
        <w:rPr/>
        <w:t>Maximum</w:t>
      </w:r>
      <w:r>
        <w:rPr>
          <w:spacing w:val="-4"/>
        </w:rPr>
        <w:t> </w:t>
      </w:r>
      <w:r>
        <w:rPr/>
        <w:t>height</w:t>
      </w:r>
      <w:r>
        <w:rPr>
          <w:spacing w:val="-3"/>
        </w:rPr>
        <w:t> </w:t>
      </w:r>
      <w:r>
        <w:rPr/>
        <w:t>of</w:t>
      </w:r>
      <w:r>
        <w:rPr>
          <w:spacing w:val="-5"/>
        </w:rPr>
        <w:t> </w:t>
      </w:r>
      <w:r>
        <w:rPr/>
        <w:t>scale</w:t>
      </w:r>
      <w:r>
        <w:rPr>
          <w:spacing w:val="-2"/>
        </w:rPr>
        <w:t> </w:t>
      </w:r>
      <w:r>
        <w:rPr/>
        <w:t>base</w:t>
      </w:r>
      <w:r>
        <w:rPr>
          <w:spacing w:val="-4"/>
        </w:rPr>
        <w:t> </w:t>
      </w:r>
      <w:r>
        <w:rPr/>
        <w:t>shall</w:t>
      </w:r>
      <w:r>
        <w:rPr>
          <w:spacing w:val="-4"/>
        </w:rPr>
        <w:t> </w:t>
      </w:r>
      <w:r>
        <w:rPr/>
        <w:t>not</w:t>
      </w:r>
      <w:r>
        <w:rPr>
          <w:spacing w:val="-5"/>
        </w:rPr>
        <w:t> </w:t>
      </w:r>
      <w:r>
        <w:rPr/>
        <w:t>exceed</w:t>
      </w:r>
      <w:r>
        <w:rPr>
          <w:spacing w:val="-2"/>
        </w:rPr>
        <w:t> </w:t>
      </w:r>
      <w:r>
        <w:rPr/>
        <w:t>1.5</w:t>
      </w:r>
      <w:r>
        <w:rPr>
          <w:spacing w:val="-4"/>
        </w:rPr>
        <w:t> </w:t>
      </w:r>
      <w:r>
        <w:rPr/>
        <w:t>in</w:t>
      </w:r>
      <w:r>
        <w:rPr>
          <w:spacing w:val="-2"/>
        </w:rPr>
        <w:t> </w:t>
      </w:r>
      <w:r>
        <w:rPr/>
        <w:t>(3.8</w:t>
      </w:r>
      <w:r>
        <w:rPr>
          <w:spacing w:val="-2"/>
        </w:rPr>
        <w:t> </w:t>
      </w:r>
      <w:r>
        <w:rPr/>
        <w:t>cm).</w:t>
      </w:r>
      <w:r>
        <w:rPr>
          <w:spacing w:val="40"/>
        </w:rPr>
        <w:t> </w:t>
      </w:r>
      <w:r>
        <w:rPr/>
        <w:t>The</w:t>
      </w:r>
      <w:r>
        <w:rPr>
          <w:spacing w:val="-4"/>
        </w:rPr>
        <w:t> </w:t>
      </w:r>
      <w:r>
        <w:rPr/>
        <w:t>unit shall weigh less than 65 lbs (29 kg) for ease of installation.</w:t>
      </w:r>
    </w:p>
    <w:p>
      <w:pPr>
        <w:pStyle w:val="BodyText"/>
      </w:pPr>
    </w:p>
    <w:p>
      <w:pPr>
        <w:pStyle w:val="Heading1"/>
        <w:numPr>
          <w:ilvl w:val="0"/>
          <w:numId w:val="2"/>
        </w:numPr>
        <w:tabs>
          <w:tab w:pos="821" w:val="left" w:leader="none"/>
        </w:tabs>
        <w:spacing w:line="240" w:lineRule="auto" w:before="0" w:after="0"/>
        <w:ind w:left="821" w:right="0" w:hanging="720"/>
        <w:jc w:val="left"/>
      </w:pPr>
      <w:r>
        <w:rPr>
          <w:spacing w:val="-2"/>
        </w:rPr>
        <w:t>WARRANTY</w:t>
      </w:r>
    </w:p>
    <w:p>
      <w:pPr>
        <w:pStyle w:val="BodyText"/>
      </w:pPr>
    </w:p>
    <w:p>
      <w:pPr>
        <w:pStyle w:val="BodyText"/>
        <w:ind w:left="821" w:right="95"/>
      </w:pPr>
      <w:r>
        <w:rPr/>
        <w:t>The entire scale shall be covered by the manufacturers Standard Warranty,</w:t>
      </w:r>
      <w:r>
        <w:rPr>
          <w:spacing w:val="-3"/>
        </w:rPr>
        <w:t> </w:t>
      </w:r>
      <w:r>
        <w:rPr/>
        <w:t>which</w:t>
      </w:r>
      <w:r>
        <w:rPr>
          <w:spacing w:val="-4"/>
        </w:rPr>
        <w:t> </w:t>
      </w:r>
      <w:r>
        <w:rPr/>
        <w:t>shall</w:t>
      </w:r>
      <w:r>
        <w:rPr>
          <w:spacing w:val="-4"/>
        </w:rPr>
        <w:t> </w:t>
      </w:r>
      <w:r>
        <w:rPr/>
        <w:t>include</w:t>
      </w:r>
      <w:r>
        <w:rPr>
          <w:spacing w:val="-6"/>
        </w:rPr>
        <w:t> </w:t>
      </w:r>
      <w:r>
        <w:rPr/>
        <w:t>the</w:t>
      </w:r>
      <w:r>
        <w:rPr>
          <w:spacing w:val="-6"/>
        </w:rPr>
        <w:t> </w:t>
      </w:r>
      <w:r>
        <w:rPr/>
        <w:t>entire</w:t>
      </w:r>
      <w:r>
        <w:rPr>
          <w:spacing w:val="-6"/>
        </w:rPr>
        <w:t> </w:t>
      </w:r>
      <w:r>
        <w:rPr/>
        <w:t>assembly</w:t>
      </w:r>
      <w:r>
        <w:rPr>
          <w:spacing w:val="-6"/>
        </w:rPr>
        <w:t> </w:t>
      </w:r>
      <w:r>
        <w:rPr/>
        <w:t>for</w:t>
      </w:r>
      <w:r>
        <w:rPr>
          <w:spacing w:val="-4"/>
        </w:rPr>
        <w:t> </w:t>
      </w:r>
      <w:r>
        <w:rPr/>
        <w:t>one</w:t>
      </w:r>
      <w:r>
        <w:rPr>
          <w:spacing w:val="-6"/>
        </w:rPr>
        <w:t> </w:t>
      </w:r>
      <w:r>
        <w:rPr/>
        <w:t>(1)</w:t>
      </w:r>
      <w:r>
        <w:rPr>
          <w:spacing w:val="-6"/>
        </w:rPr>
        <w:t> </w:t>
      </w:r>
      <w:r>
        <w:rPr/>
        <w:t>year</w:t>
      </w:r>
      <w:r>
        <w:rPr>
          <w:spacing w:val="-2"/>
        </w:rPr>
        <w:t> </w:t>
      </w:r>
      <w:r>
        <w:rPr/>
        <w:t>from date of start up. The scale base shall be protected by an</w:t>
      </w:r>
    </w:p>
    <w:p>
      <w:pPr>
        <w:spacing w:after="0"/>
        <w:sectPr>
          <w:footerReference w:type="default" r:id="rId5"/>
          <w:type w:val="continuous"/>
          <w:pgSz w:w="12240" w:h="15840"/>
          <w:pgMar w:header="0" w:footer="699" w:top="1360" w:bottom="880" w:left="1700" w:right="1720"/>
          <w:pgNumType w:start="1"/>
        </w:sectPr>
      </w:pPr>
    </w:p>
    <w:p>
      <w:pPr>
        <w:pStyle w:val="BodyText"/>
        <w:spacing w:before="81"/>
        <w:ind w:left="821" w:right="724"/>
        <w:jc w:val="both"/>
      </w:pPr>
      <w:r>
        <w:rPr/>
        <w:t>extended</w:t>
      </w:r>
      <w:r>
        <w:rPr>
          <w:spacing w:val="-6"/>
        </w:rPr>
        <w:t> </w:t>
      </w:r>
      <w:r>
        <w:rPr/>
        <w:t>warranty</w:t>
      </w:r>
      <w:r>
        <w:rPr>
          <w:spacing w:val="-4"/>
        </w:rPr>
        <w:t> </w:t>
      </w:r>
      <w:r>
        <w:rPr/>
        <w:t>for</w:t>
      </w:r>
      <w:r>
        <w:rPr>
          <w:spacing w:val="-6"/>
        </w:rPr>
        <w:t> </w:t>
      </w:r>
      <w:r>
        <w:rPr/>
        <w:t>a</w:t>
      </w:r>
      <w:r>
        <w:rPr>
          <w:spacing w:val="-6"/>
        </w:rPr>
        <w:t> </w:t>
      </w:r>
      <w:r>
        <w:rPr/>
        <w:t>minimum</w:t>
      </w:r>
      <w:r>
        <w:rPr>
          <w:spacing w:val="-6"/>
        </w:rPr>
        <w:t> </w:t>
      </w:r>
      <w:r>
        <w:rPr/>
        <w:t>of</w:t>
      </w:r>
      <w:r>
        <w:rPr>
          <w:spacing w:val="-5"/>
        </w:rPr>
        <w:t> </w:t>
      </w:r>
      <w:r>
        <w:rPr/>
        <w:t>five</w:t>
      </w:r>
      <w:r>
        <w:rPr>
          <w:spacing w:val="-4"/>
        </w:rPr>
        <w:t> </w:t>
      </w:r>
      <w:r>
        <w:rPr/>
        <w:t>(5)</w:t>
      </w:r>
      <w:r>
        <w:rPr>
          <w:spacing w:val="-4"/>
        </w:rPr>
        <w:t> </w:t>
      </w:r>
      <w:r>
        <w:rPr/>
        <w:t>years,</w:t>
      </w:r>
      <w:r>
        <w:rPr>
          <w:spacing w:val="-3"/>
        </w:rPr>
        <w:t> </w:t>
      </w:r>
      <w:r>
        <w:rPr/>
        <w:t>which</w:t>
      </w:r>
      <w:r>
        <w:rPr>
          <w:spacing w:val="-4"/>
        </w:rPr>
        <w:t> </w:t>
      </w:r>
      <w:r>
        <w:rPr/>
        <w:t>will</w:t>
      </w:r>
      <w:r>
        <w:rPr>
          <w:spacing w:val="-4"/>
        </w:rPr>
        <w:t> </w:t>
      </w:r>
      <w:r>
        <w:rPr/>
        <w:t>provide warranty</w:t>
      </w:r>
      <w:r>
        <w:rPr>
          <w:spacing w:val="-3"/>
        </w:rPr>
        <w:t> </w:t>
      </w:r>
      <w:r>
        <w:rPr/>
        <w:t>repair</w:t>
      </w:r>
      <w:r>
        <w:rPr>
          <w:spacing w:val="-1"/>
        </w:rPr>
        <w:t> </w:t>
      </w:r>
      <w:r>
        <w:rPr/>
        <w:t>or</w:t>
      </w:r>
      <w:r>
        <w:rPr>
          <w:spacing w:val="-1"/>
        </w:rPr>
        <w:t> </w:t>
      </w:r>
      <w:r>
        <w:rPr/>
        <w:t>replacement</w:t>
      </w:r>
      <w:r>
        <w:rPr>
          <w:spacing w:val="-2"/>
        </w:rPr>
        <w:t> </w:t>
      </w:r>
      <w:r>
        <w:rPr/>
        <w:t>if</w:t>
      </w:r>
      <w:r>
        <w:rPr>
          <w:spacing w:val="-4"/>
        </w:rPr>
        <w:t> </w:t>
      </w:r>
      <w:r>
        <w:rPr/>
        <w:t>the</w:t>
      </w:r>
      <w:r>
        <w:rPr>
          <w:spacing w:val="-3"/>
        </w:rPr>
        <w:t> </w:t>
      </w:r>
      <w:r>
        <w:rPr/>
        <w:t>scale</w:t>
      </w:r>
      <w:r>
        <w:rPr>
          <w:spacing w:val="-1"/>
        </w:rPr>
        <w:t> </w:t>
      </w:r>
      <w:r>
        <w:rPr/>
        <w:t>base</w:t>
      </w:r>
      <w:r>
        <w:rPr>
          <w:spacing w:val="-3"/>
        </w:rPr>
        <w:t> </w:t>
      </w:r>
      <w:r>
        <w:rPr/>
        <w:t>is</w:t>
      </w:r>
      <w:r>
        <w:rPr>
          <w:spacing w:val="-3"/>
        </w:rPr>
        <w:t> </w:t>
      </w:r>
      <w:r>
        <w:rPr/>
        <w:t>damaged</w:t>
      </w:r>
      <w:r>
        <w:rPr>
          <w:spacing w:val="-3"/>
        </w:rPr>
        <w:t> </w:t>
      </w:r>
      <w:r>
        <w:rPr/>
        <w:t>through corrosive exposure.</w:t>
      </w:r>
    </w:p>
    <w:p>
      <w:pPr>
        <w:pStyle w:val="BodyText"/>
        <w:spacing w:before="275"/>
      </w:pPr>
    </w:p>
    <w:p>
      <w:pPr>
        <w:pStyle w:val="Heading1"/>
        <w:numPr>
          <w:ilvl w:val="0"/>
          <w:numId w:val="2"/>
        </w:numPr>
        <w:tabs>
          <w:tab w:pos="821" w:val="left" w:leader="none"/>
        </w:tabs>
        <w:spacing w:line="240" w:lineRule="auto" w:before="1" w:after="0"/>
        <w:ind w:left="821" w:right="0" w:hanging="720"/>
        <w:jc w:val="left"/>
      </w:pPr>
      <w:r>
        <w:rPr/>
        <w:t>POWER</w:t>
      </w:r>
      <w:r>
        <w:rPr>
          <w:spacing w:val="-6"/>
        </w:rPr>
        <w:t> </w:t>
      </w:r>
      <w:r>
        <w:rPr>
          <w:spacing w:val="-2"/>
        </w:rPr>
        <w:t>SUPPLY</w:t>
      </w:r>
    </w:p>
    <w:p>
      <w:pPr>
        <w:pStyle w:val="BodyText"/>
      </w:pPr>
    </w:p>
    <w:p>
      <w:pPr>
        <w:pStyle w:val="BodyText"/>
        <w:ind w:left="821"/>
        <w:jc w:val="both"/>
      </w:pPr>
      <w:r>
        <w:rPr/>
        <w:t>The</w:t>
      </w:r>
      <w:r>
        <w:rPr>
          <w:spacing w:val="-5"/>
        </w:rPr>
        <w:t> </w:t>
      </w:r>
      <w:r>
        <w:rPr/>
        <w:t>scale</w:t>
      </w:r>
      <w:r>
        <w:rPr>
          <w:spacing w:val="-4"/>
        </w:rPr>
        <w:t> </w:t>
      </w:r>
      <w:r>
        <w:rPr/>
        <w:t>shall</w:t>
      </w:r>
      <w:r>
        <w:rPr>
          <w:spacing w:val="-2"/>
        </w:rPr>
        <w:t> </w:t>
      </w:r>
      <w:r>
        <w:rPr/>
        <w:t>not</w:t>
      </w:r>
      <w:r>
        <w:rPr>
          <w:spacing w:val="-3"/>
        </w:rPr>
        <w:t> </w:t>
      </w:r>
      <w:r>
        <w:rPr/>
        <w:t>require</w:t>
      </w:r>
      <w:r>
        <w:rPr>
          <w:spacing w:val="-2"/>
        </w:rPr>
        <w:t> </w:t>
      </w:r>
      <w:r>
        <w:rPr/>
        <w:t>an</w:t>
      </w:r>
      <w:r>
        <w:rPr>
          <w:spacing w:val="-2"/>
        </w:rPr>
        <w:t> </w:t>
      </w:r>
      <w:r>
        <w:rPr/>
        <w:t>external</w:t>
      </w:r>
      <w:r>
        <w:rPr>
          <w:spacing w:val="-4"/>
        </w:rPr>
        <w:t> </w:t>
      </w:r>
      <w:r>
        <w:rPr/>
        <w:t>power</w:t>
      </w:r>
      <w:r>
        <w:rPr>
          <w:spacing w:val="-2"/>
        </w:rPr>
        <w:t> source.</w:t>
      </w:r>
    </w:p>
    <w:p>
      <w:pPr>
        <w:pStyle w:val="BodyText"/>
      </w:pPr>
    </w:p>
    <w:p>
      <w:pPr>
        <w:pStyle w:val="Heading1"/>
        <w:numPr>
          <w:ilvl w:val="0"/>
          <w:numId w:val="2"/>
        </w:numPr>
        <w:tabs>
          <w:tab w:pos="821" w:val="left" w:leader="none"/>
        </w:tabs>
        <w:spacing w:line="240" w:lineRule="auto" w:before="0" w:after="0"/>
        <w:ind w:left="821" w:right="0" w:hanging="720"/>
        <w:jc w:val="left"/>
      </w:pPr>
      <w:r>
        <w:rPr>
          <w:spacing w:val="-2"/>
        </w:rPr>
        <w:t>MANUFACTURER</w:t>
      </w:r>
    </w:p>
    <w:p>
      <w:pPr>
        <w:pStyle w:val="BodyText"/>
      </w:pPr>
    </w:p>
    <w:p>
      <w:pPr>
        <w:pStyle w:val="BodyText"/>
        <w:ind w:left="821" w:right="95"/>
      </w:pPr>
      <w:r>
        <w:rPr/>
        <w:t>The</w:t>
      </w:r>
      <w:r>
        <w:rPr>
          <w:spacing w:val="-7"/>
        </w:rPr>
        <w:t> </w:t>
      </w:r>
      <w:r>
        <w:rPr/>
        <w:t>scale</w:t>
      </w:r>
      <w:r>
        <w:rPr>
          <w:spacing w:val="-7"/>
        </w:rPr>
        <w:t> </w:t>
      </w:r>
      <w:r>
        <w:rPr/>
        <w:t>shall</w:t>
      </w:r>
      <w:r>
        <w:rPr>
          <w:spacing w:val="-5"/>
        </w:rPr>
        <w:t> </w:t>
      </w:r>
      <w:r>
        <w:rPr/>
        <w:t>be</w:t>
      </w:r>
      <w:r>
        <w:rPr>
          <w:spacing w:val="-7"/>
        </w:rPr>
        <w:t> </w:t>
      </w:r>
      <w:r>
        <w:rPr/>
        <w:t>manufactured</w:t>
      </w:r>
      <w:r>
        <w:rPr>
          <w:spacing w:val="-5"/>
        </w:rPr>
        <w:t> </w:t>
      </w:r>
      <w:r>
        <w:rPr/>
        <w:t>by</w:t>
      </w:r>
      <w:r>
        <w:rPr>
          <w:spacing w:val="-7"/>
        </w:rPr>
        <w:t> </w:t>
      </w:r>
      <w:r>
        <w:rPr/>
        <w:t>Eagle</w:t>
      </w:r>
      <w:r>
        <w:rPr>
          <w:spacing w:val="-7"/>
        </w:rPr>
        <w:t> </w:t>
      </w:r>
      <w:r>
        <w:rPr/>
        <w:t>Microsystems,</w:t>
      </w:r>
      <w:r>
        <w:rPr>
          <w:spacing w:val="-4"/>
        </w:rPr>
        <w:t> </w:t>
      </w:r>
      <w:r>
        <w:rPr/>
        <w:t>Inc.,</w:t>
      </w:r>
      <w:r>
        <w:rPr>
          <w:spacing w:val="-6"/>
        </w:rPr>
        <w:t> </w:t>
      </w:r>
      <w:r>
        <w:rPr/>
        <w:t>Pottstown, PA, USA phone: 610.323.2250</w:t>
      </w:r>
      <w:r>
        <w:rPr>
          <w:spacing w:val="40"/>
        </w:rPr>
        <w:t> </w:t>
      </w:r>
      <w:r>
        <w:rPr/>
        <w:t>/</w:t>
      </w:r>
      <w:r>
        <w:rPr>
          <w:spacing w:val="40"/>
        </w:rPr>
        <w:t> </w:t>
      </w:r>
      <w:r>
        <w:rPr/>
        <w:t>fax: 610.323.0114</w:t>
      </w:r>
    </w:p>
    <w:sectPr>
      <w:pgSz w:w="12240" w:h="15840"/>
      <w:pgMar w:header="0" w:footer="699" w:top="1360" w:bottom="88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52512">
              <wp:simplePos x="0" y="0"/>
              <wp:positionH relativeFrom="page">
                <wp:posOffset>1131569</wp:posOffset>
              </wp:positionH>
              <wp:positionV relativeFrom="page">
                <wp:posOffset>9474934</wp:posOffset>
              </wp:positionV>
              <wp:extent cx="84201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2010" cy="139065"/>
                      </a:xfrm>
                      <a:prstGeom prst="rect">
                        <a:avLst/>
                      </a:prstGeom>
                    </wps:spPr>
                    <wps:txbx>
                      <w:txbxContent>
                        <w:p>
                          <w:pPr>
                            <w:spacing w:before="14"/>
                            <w:ind w:left="20" w:right="0" w:firstLine="0"/>
                            <w:jc w:val="left"/>
                            <w:rPr>
                              <w:sz w:val="16"/>
                            </w:rPr>
                          </w:pPr>
                          <w:r>
                            <w:rPr>
                              <w:spacing w:val="-2"/>
                              <w:sz w:val="16"/>
                            </w:rPr>
                            <w:t>DMS302Spec.doc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099998pt;margin-top:746.0578pt;width:66.3pt;height:10.95pt;mso-position-horizontal-relative:page;mso-position-vertical-relative:page;z-index:-15763968" type="#_x0000_t202" id="docshape1" filled="false" stroked="false">
              <v:textbox inset="0,0,0,0">
                <w:txbxContent>
                  <w:p>
                    <w:pPr>
                      <w:spacing w:before="14"/>
                      <w:ind w:left="20" w:right="0" w:firstLine="0"/>
                      <w:jc w:val="left"/>
                      <w:rPr>
                        <w:sz w:val="16"/>
                      </w:rPr>
                    </w:pPr>
                    <w:r>
                      <w:rPr>
                        <w:spacing w:val="-2"/>
                        <w:sz w:val="16"/>
                      </w:rPr>
                      <w:t>DMS302Spec.doc</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0"/>
      <w:lvlJc w:val="left"/>
      <w:pPr>
        <w:ind w:left="822" w:hanging="72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620" w:hanging="720"/>
      </w:pPr>
      <w:rPr>
        <w:rFonts w:hint="default"/>
        <w:lang w:val="en-US" w:eastAsia="en-US" w:bidi="ar-SA"/>
      </w:rPr>
    </w:lvl>
    <w:lvl w:ilvl="2">
      <w:start w:val="0"/>
      <w:numFmt w:val="bullet"/>
      <w:lvlText w:val="•"/>
      <w:lvlJc w:val="left"/>
      <w:pPr>
        <w:ind w:left="2420" w:hanging="720"/>
      </w:pPr>
      <w:rPr>
        <w:rFonts w:hint="default"/>
        <w:lang w:val="en-US" w:eastAsia="en-US" w:bidi="ar-SA"/>
      </w:rPr>
    </w:lvl>
    <w:lvl w:ilvl="3">
      <w:start w:val="0"/>
      <w:numFmt w:val="bullet"/>
      <w:lvlText w:val="•"/>
      <w:lvlJc w:val="left"/>
      <w:pPr>
        <w:ind w:left="3220" w:hanging="720"/>
      </w:pPr>
      <w:rPr>
        <w:rFonts w:hint="default"/>
        <w:lang w:val="en-US" w:eastAsia="en-US" w:bidi="ar-SA"/>
      </w:rPr>
    </w:lvl>
    <w:lvl w:ilvl="4">
      <w:start w:val="0"/>
      <w:numFmt w:val="bullet"/>
      <w:lvlText w:val="•"/>
      <w:lvlJc w:val="left"/>
      <w:pPr>
        <w:ind w:left="4020" w:hanging="720"/>
      </w:pPr>
      <w:rPr>
        <w:rFonts w:hint="default"/>
        <w:lang w:val="en-US" w:eastAsia="en-US" w:bidi="ar-SA"/>
      </w:rPr>
    </w:lvl>
    <w:lvl w:ilvl="5">
      <w:start w:val="0"/>
      <w:numFmt w:val="bullet"/>
      <w:lvlText w:val="•"/>
      <w:lvlJc w:val="left"/>
      <w:pPr>
        <w:ind w:left="4820"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420" w:hanging="720"/>
      </w:pPr>
      <w:rPr>
        <w:rFonts w:hint="default"/>
        <w:lang w:val="en-US" w:eastAsia="en-US" w:bidi="ar-SA"/>
      </w:rPr>
    </w:lvl>
    <w:lvl w:ilvl="8">
      <w:start w:val="0"/>
      <w:numFmt w:val="bullet"/>
      <w:lvlText w:val="•"/>
      <w:lvlJc w:val="left"/>
      <w:pPr>
        <w:ind w:left="7220" w:hanging="720"/>
      </w:pPr>
      <w:rPr>
        <w:rFonts w:hint="default"/>
        <w:lang w:val="en-US" w:eastAsia="en-US" w:bidi="ar-SA"/>
      </w:rPr>
    </w:lvl>
  </w:abstractNum>
  <w:abstractNum w:abstractNumId="0">
    <w:multiLevelType w:val="hybridMultilevel"/>
    <w:lvl w:ilvl="0">
      <w:start w:val="1"/>
      <w:numFmt w:val="decimal"/>
      <w:lvlText w:val="%1"/>
      <w:lvlJc w:val="left"/>
      <w:pPr>
        <w:ind w:left="822" w:hanging="720"/>
        <w:jc w:val="left"/>
      </w:pPr>
      <w:rPr>
        <w:rFonts w:hint="default"/>
        <w:lang w:val="en-US" w:eastAsia="en-US" w:bidi="ar-SA"/>
      </w:rPr>
    </w:lvl>
    <w:lvl w:ilvl="1">
      <w:start w:val="0"/>
      <w:numFmt w:val="decimal"/>
      <w:lvlText w:val="%1.%2"/>
      <w:lvlJc w:val="left"/>
      <w:pPr>
        <w:ind w:left="822" w:hanging="720"/>
        <w:jc w:val="lef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2420" w:hanging="720"/>
      </w:pPr>
      <w:rPr>
        <w:rFonts w:hint="default"/>
        <w:lang w:val="en-US" w:eastAsia="en-US" w:bidi="ar-SA"/>
      </w:rPr>
    </w:lvl>
    <w:lvl w:ilvl="3">
      <w:start w:val="0"/>
      <w:numFmt w:val="bullet"/>
      <w:lvlText w:val="•"/>
      <w:lvlJc w:val="left"/>
      <w:pPr>
        <w:ind w:left="3220" w:hanging="720"/>
      </w:pPr>
      <w:rPr>
        <w:rFonts w:hint="default"/>
        <w:lang w:val="en-US" w:eastAsia="en-US" w:bidi="ar-SA"/>
      </w:rPr>
    </w:lvl>
    <w:lvl w:ilvl="4">
      <w:start w:val="0"/>
      <w:numFmt w:val="bullet"/>
      <w:lvlText w:val="•"/>
      <w:lvlJc w:val="left"/>
      <w:pPr>
        <w:ind w:left="4020" w:hanging="720"/>
      </w:pPr>
      <w:rPr>
        <w:rFonts w:hint="default"/>
        <w:lang w:val="en-US" w:eastAsia="en-US" w:bidi="ar-SA"/>
      </w:rPr>
    </w:lvl>
    <w:lvl w:ilvl="5">
      <w:start w:val="0"/>
      <w:numFmt w:val="bullet"/>
      <w:lvlText w:val="•"/>
      <w:lvlJc w:val="left"/>
      <w:pPr>
        <w:ind w:left="4820"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420" w:hanging="720"/>
      </w:pPr>
      <w:rPr>
        <w:rFonts w:hint="default"/>
        <w:lang w:val="en-US" w:eastAsia="en-US" w:bidi="ar-SA"/>
      </w:rPr>
    </w:lvl>
    <w:lvl w:ilvl="8">
      <w:start w:val="0"/>
      <w:numFmt w:val="bullet"/>
      <w:lvlText w:val="•"/>
      <w:lvlJc w:val="left"/>
      <w:pPr>
        <w:ind w:left="7220"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21" w:hanging="720"/>
      <w:outlineLvl w:val="1"/>
    </w:pPr>
    <w:rPr>
      <w:rFonts w:ascii="Arial" w:hAnsi="Arial" w:eastAsia="Arial" w:cs="Arial"/>
      <w:sz w:val="24"/>
      <w:szCs w:val="24"/>
      <w:lang w:val="en-US" w:eastAsia="en-US" w:bidi="ar-SA"/>
    </w:rPr>
  </w:style>
  <w:style w:styleId="Title" w:type="paragraph">
    <w:name w:val="Title"/>
    <w:basedOn w:val="Normal"/>
    <w:uiPriority w:val="1"/>
    <w:qFormat/>
    <w:pPr>
      <w:spacing w:before="81"/>
      <w:ind w:left="16"/>
      <w:jc w:val="center"/>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21" w:hanging="72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dc:title>Specification - DMS302 Dual Cylinder Mechanical Scale</dc:title>
  <dcterms:created xsi:type="dcterms:W3CDTF">2024-02-22T20:05:31Z</dcterms:created>
  <dcterms:modified xsi:type="dcterms:W3CDTF">2024-02-22T20:05:31Z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Writer</vt:lpwstr>
  </property>
  <property fmtid="{D5CDD505-2E9C-101B-9397-08002B2CF9AE}" pid="4" name="Producer">
    <vt:lpwstr>LibreOffice 4.2</vt:lpwstr>
  </property>
  <property fmtid="{D5CDD505-2E9C-101B-9397-08002B2CF9AE}" pid="5" name="LastSaved">
    <vt:filetime>2017-03-30T00:00:00Z</vt:filetime>
  </property>
</Properties>
</file>